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4F9B4">
      <w:pPr>
        <w:jc w:val="center"/>
        <w:rPr>
          <w:rFonts w:hint="eastAsia" w:ascii="黑体" w:hAnsi="黑体" w:eastAsia="黑体" w:cs="黑体"/>
          <w:b/>
          <w:bCs/>
          <w:color w:val="FF0000"/>
          <w:sz w:val="72"/>
          <w:szCs w:val="72"/>
          <w:shd w:val="clear" w:color="auto" w:fill="FFFFFF"/>
        </w:rPr>
      </w:pPr>
      <w:r>
        <w:rPr>
          <w:rFonts w:hint="eastAsia" w:ascii="黑体" w:hAnsi="黑体" w:eastAsia="黑体" w:cs="黑体"/>
          <w:b/>
          <w:bCs/>
          <w:color w:val="FF0000"/>
          <w:sz w:val="72"/>
          <w:szCs w:val="72"/>
          <w:shd w:val="clear" w:color="auto" w:fill="FFFFFF"/>
        </w:rPr>
        <w:t>广州华立学院教务处</w:t>
      </w:r>
    </w:p>
    <w:p w14:paraId="08B2FAFA">
      <w:pPr>
        <w:jc w:val="center"/>
        <w:rPr>
          <w:rFonts w:eastAsia="微软雅黑"/>
          <w:b/>
          <w:bCs/>
          <w:color w:val="FF0000"/>
          <w:sz w:val="36"/>
          <w:szCs w:val="36"/>
        </w:rPr>
      </w:pPr>
      <w:r>
        <w:rPr>
          <w:rFonts w:ascii="微软雅黑" w:hAnsi="微软雅黑" w:eastAsia="微软雅黑" w:cs="微软雅黑"/>
          <w:b/>
          <w:bCs/>
          <w:color w:val="FF0000"/>
          <w:sz w:val="19"/>
          <w:szCs w:val="19"/>
          <w:shd w:val="clear" w:color="auto" w:fill="FFFFFF"/>
        </w:rPr>
        <w:t>————————————————————————————————————————</w:t>
      </w:r>
    </w:p>
    <w:p w14:paraId="610B6E07">
      <w:pPr>
        <w:jc w:val="center"/>
        <w:rPr>
          <w:rFonts w:hint="eastAsia" w:ascii="黑体" w:hAnsi="黑体" w:eastAsia="黑体" w:cs="黑体"/>
          <w:sz w:val="44"/>
          <w:szCs w:val="44"/>
        </w:rPr>
      </w:pPr>
      <w:r>
        <w:rPr>
          <w:rFonts w:hint="eastAsia" w:ascii="黑体" w:hAnsi="黑体" w:eastAsia="黑体" w:cs="黑体"/>
          <w:sz w:val="44"/>
          <w:szCs w:val="44"/>
        </w:rPr>
        <w:t>关于做好广州华立学院2024版本科专业人才培养方案修订补充工作的通知</w:t>
      </w:r>
    </w:p>
    <w:p w14:paraId="6DFE47D9">
      <w:pPr>
        <w:jc w:val="center"/>
        <w:rPr>
          <w:szCs w:val="21"/>
        </w:rPr>
      </w:pPr>
    </w:p>
    <w:p w14:paraId="3A8473F9">
      <w:pPr>
        <w:jc w:val="center"/>
        <w:rPr>
          <w:sz w:val="24"/>
        </w:rPr>
      </w:pPr>
      <w:r>
        <w:rPr>
          <w:rFonts w:hint="eastAsia"/>
          <w:sz w:val="24"/>
        </w:rPr>
        <w:t>教函字【2024】22号</w:t>
      </w:r>
    </w:p>
    <w:p w14:paraId="04013762">
      <w:pPr>
        <w:rPr>
          <w:sz w:val="36"/>
          <w:szCs w:val="36"/>
        </w:rPr>
      </w:pPr>
    </w:p>
    <w:p w14:paraId="118F9E5B">
      <w:pPr>
        <w:spacing w:line="360" w:lineRule="auto"/>
        <w:rPr>
          <w:rFonts w:hint="eastAsia" w:ascii="宋体" w:hAnsi="宋体" w:eastAsia="宋体" w:cs="宋体"/>
          <w:sz w:val="28"/>
          <w:szCs w:val="28"/>
        </w:rPr>
      </w:pPr>
      <w:r>
        <w:rPr>
          <w:rFonts w:hint="eastAsia" w:ascii="仿宋" w:hAnsi="仿宋" w:eastAsia="仿宋" w:cs="仿宋"/>
          <w:sz w:val="32"/>
          <w:szCs w:val="32"/>
        </w:rPr>
        <w:t>各学院：</w:t>
      </w:r>
      <w:r>
        <w:rPr>
          <w:rFonts w:hint="eastAsia" w:ascii="宋体" w:hAnsi="宋体" w:eastAsia="宋体" w:cs="宋体"/>
          <w:sz w:val="28"/>
          <w:szCs w:val="28"/>
        </w:rPr>
        <w:t xml:space="preserve"> </w:t>
      </w:r>
    </w:p>
    <w:p w14:paraId="07649562">
      <w:pPr>
        <w:jc w:val="left"/>
        <w:rPr>
          <w:rFonts w:hint="eastAsia" w:ascii="仿宋" w:hAnsi="仿宋" w:eastAsia="仿宋" w:cs="仿宋"/>
          <w:sz w:val="32"/>
          <w:szCs w:val="32"/>
        </w:rPr>
      </w:pPr>
      <w:r>
        <w:rPr>
          <w:rFonts w:hint="eastAsia" w:ascii="宋体" w:hAnsi="宋体" w:eastAsia="宋体" w:cs="宋体"/>
          <w:sz w:val="28"/>
          <w:szCs w:val="28"/>
        </w:rPr>
        <w:t xml:space="preserve">   </w:t>
      </w:r>
      <w:r>
        <w:rPr>
          <w:rFonts w:hint="eastAsia" w:ascii="仿宋" w:hAnsi="仿宋" w:eastAsia="仿宋" w:cs="仿宋"/>
          <w:sz w:val="32"/>
          <w:szCs w:val="32"/>
        </w:rPr>
        <w:t>学校7月份印发了《广州华立学院 2024 级本科专业人才培养方案制（修）订指导意见》(广州华立院教字〔2024〕55 号），对2024版本科专业人才培养方案修订工作提出了具体要求，现根据评估专家意见和董事会的指示精神，在听取部分学院院长意见的基础上，对2024版本科专业人才培养方案修订工作提出如下补充意见。</w:t>
      </w:r>
    </w:p>
    <w:p w14:paraId="46F7F3AA">
      <w:pPr>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一、微调修订原因</w:t>
      </w:r>
    </w:p>
    <w:p w14:paraId="48CDA102">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2024版修订总的原则是不作大的变动，只在2023版本科专业人才培养方案上作适当的微调。主要原因在于：</w:t>
      </w:r>
    </w:p>
    <w:p w14:paraId="408D93A4">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1.本科教学合格评估的新要求。教育部专家要求贯彻OBE理念，2024版本科专业人才培养方案修订要反映OBE理念的精神，如果没有这方面表述的一定要增补上，表述不够明确具体的要进一步明确具体，力求做到形似，争取神似。</w:t>
      </w:r>
    </w:p>
    <w:p w14:paraId="0EA5EEB0">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2.要体现应用型本科培养复合型人才的要求，适应高新技术快速发展的需要。2024版本科人才培养方案修订要拓展素质教育课程模块，加强实践教学环节；落实新工科、新文科、新医科要求，增加学科交叉、文理融合以及数字化、人工智能方面的课程；通过多开设选修课、实习实践指导课、考证指导课、微专业课程等灵活多样的方式，更好地提升学生的综合素质和实践能力。</w:t>
      </w:r>
    </w:p>
    <w:p w14:paraId="3E4C7CF0">
      <w:pPr>
        <w:numPr>
          <w:ilvl w:val="0"/>
          <w:numId w:val="1"/>
        </w:numPr>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微调修订的主要内容</w:t>
      </w:r>
    </w:p>
    <w:p w14:paraId="2D3BB334">
      <w:pPr>
        <w:ind w:firstLine="643" w:firstLineChars="200"/>
        <w:jc w:val="left"/>
        <w:rPr>
          <w:rFonts w:hint="eastAsia" w:ascii="仿宋" w:hAnsi="仿宋" w:eastAsia="仿宋" w:cs="仿宋"/>
          <w:sz w:val="32"/>
          <w:szCs w:val="32"/>
        </w:rPr>
      </w:pPr>
      <w:r>
        <w:rPr>
          <w:rFonts w:hint="eastAsia" w:ascii="仿宋" w:hAnsi="仿宋" w:eastAsia="仿宋" w:cs="仿宋"/>
          <w:b/>
          <w:bCs/>
          <w:sz w:val="32"/>
          <w:szCs w:val="32"/>
        </w:rPr>
        <w:t>1.初步融入OBE理念。</w:t>
      </w:r>
      <w:r>
        <w:rPr>
          <w:rFonts w:hint="eastAsia" w:ascii="仿宋" w:hAnsi="仿宋" w:eastAsia="仿宋" w:cs="仿宋"/>
          <w:sz w:val="32"/>
          <w:szCs w:val="32"/>
        </w:rPr>
        <w:t>要坚持“学生中心、产出导向、反向设计、持续改进”的教育教学理念；要组织利益相关方调研讨论，确定好专业人才培养目标、毕业要求，反向设计课程体系。要建立毕业要求对培养目标以及课程体系对毕业要求的支撑矩阵关系。</w:t>
      </w:r>
    </w:p>
    <w:p w14:paraId="4620DD60">
      <w:pPr>
        <w:ind w:firstLine="643" w:firstLineChars="200"/>
        <w:jc w:val="left"/>
        <w:rPr>
          <w:rFonts w:hint="eastAsia" w:ascii="仿宋" w:hAnsi="仿宋" w:eastAsia="仿宋" w:cs="仿宋"/>
          <w:sz w:val="32"/>
          <w:szCs w:val="32"/>
        </w:rPr>
      </w:pPr>
      <w:r>
        <w:rPr>
          <w:rFonts w:hint="eastAsia" w:ascii="仿宋" w:hAnsi="仿宋" w:eastAsia="仿宋" w:cs="仿宋"/>
          <w:b/>
          <w:bCs/>
          <w:sz w:val="32"/>
          <w:szCs w:val="32"/>
        </w:rPr>
        <w:t>2.拓展素质教育模块。</w:t>
      </w:r>
      <w:r>
        <w:rPr>
          <w:rFonts w:hint="eastAsia" w:ascii="仿宋" w:hAnsi="仿宋" w:eastAsia="仿宋" w:cs="仿宋"/>
          <w:sz w:val="32"/>
          <w:szCs w:val="32"/>
        </w:rPr>
        <w:t>各专业在开好两定四选课程的基础上，要加开3-4门选修课程。文科类专业可加开信息类选修课程，如人工智能和数字化方面的课程，工科类可加开适应新技术、新产业、新业态的相关课程。还可以开设方便学生就业的日语、粤语等课程。</w:t>
      </w:r>
    </w:p>
    <w:p w14:paraId="44A65D6E">
      <w:pPr>
        <w:ind w:firstLine="560"/>
        <w:jc w:val="left"/>
        <w:rPr>
          <w:rFonts w:hint="eastAsia" w:ascii="仿宋" w:hAnsi="仿宋" w:eastAsia="仿宋" w:cs="仿宋"/>
          <w:sz w:val="32"/>
          <w:szCs w:val="32"/>
        </w:rPr>
      </w:pPr>
      <w:r>
        <w:rPr>
          <w:rFonts w:hint="eastAsia" w:ascii="仿宋" w:hAnsi="仿宋" w:eastAsia="仿宋" w:cs="仿宋"/>
          <w:b/>
          <w:bCs/>
          <w:sz w:val="32"/>
          <w:szCs w:val="32"/>
        </w:rPr>
        <w:t>3.加强实践教学。</w:t>
      </w:r>
      <w:r>
        <w:rPr>
          <w:rFonts w:hint="eastAsia" w:ascii="仿宋" w:hAnsi="仿宋" w:eastAsia="仿宋" w:cs="仿宋"/>
          <w:sz w:val="32"/>
          <w:szCs w:val="32"/>
        </w:rPr>
        <w:t>要适当开设1-2门综合性、开放性和研究性实验、实训或实践课程。要开好第七学期、第八学期生产实习、毕业实习和毕业论文（设计）期间的线上网络指导课程，要明确课程学分学时及考核要求。要安排青年教师下企业指导学生生产实习和毕业实习，聘请企业兼职教师现场指导实习；要有明确的教学任务和考核要求，有具体的过程性资料。要结合专业特点开设考证课程，帮助学生拿到专业技能证书。每个专业要开设2-3门考证课程，每个学生通过考证培训拿到1-2个专业技能证书，提升学生动手能力，提高学生的就业竞争力。</w:t>
      </w:r>
    </w:p>
    <w:p w14:paraId="0CA19165">
      <w:pPr>
        <w:ind w:firstLine="560"/>
        <w:jc w:val="left"/>
        <w:rPr>
          <w:rFonts w:hint="eastAsia" w:ascii="仿宋" w:hAnsi="仿宋" w:eastAsia="仿宋" w:cs="仿宋"/>
          <w:sz w:val="32"/>
          <w:szCs w:val="32"/>
        </w:rPr>
      </w:pPr>
      <w:r>
        <w:rPr>
          <w:rFonts w:hint="eastAsia" w:ascii="仿宋" w:hAnsi="仿宋" w:eastAsia="仿宋" w:cs="仿宋"/>
          <w:sz w:val="32"/>
          <w:szCs w:val="32"/>
        </w:rPr>
        <w:t>专业总学分可以在23版基础上适当增加5-6学分。</w:t>
      </w:r>
    </w:p>
    <w:p w14:paraId="733BBE91">
      <w:pPr>
        <w:numPr>
          <w:ilvl w:val="0"/>
          <w:numId w:val="1"/>
        </w:numPr>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 xml:space="preserve"> 微调修订要求</w:t>
      </w:r>
    </w:p>
    <w:p w14:paraId="7A48F073">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1.统一思想，明确分工。人才培养方案是学校教育教学的根本性指导文件，也是本科教学合格评估重点检查的内容。各学院要高度重视，院长、副院长要亲自抓这项工作。要建立以专业主任为负责人的修订团队，按时保质完成2024版专业人才培养方案微调修订工作。</w:t>
      </w:r>
    </w:p>
    <w:p w14:paraId="5EFE4C11">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2.深入研讨，集思广益。要学习借鉴相关高校的专业人才培养方案，组织本专业有关专家深入研讨，聘请有经验的校外专家进行指导，集思广益，在集中研讨、充分论证的基础上，形成具有本专业特点的本科人才培养方案。</w:t>
      </w:r>
    </w:p>
    <w:p w14:paraId="1BFD9A3A">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3.明确要求，按时完成。教务处将于10月份到各学院了解修订情况，商量解决问题，督促修订工作。要求11月底完成2024版人培方案微调修订工作，12月底完成审核汇编成册。</w:t>
      </w:r>
    </w:p>
    <w:p w14:paraId="152ACB5B">
      <w:pPr>
        <w:ind w:firstLine="640" w:firstLineChars="200"/>
        <w:jc w:val="left"/>
        <w:rPr>
          <w:rFonts w:hint="eastAsia" w:ascii="仿宋" w:hAnsi="仿宋" w:eastAsia="仿宋" w:cs="仿宋"/>
          <w:sz w:val="32"/>
          <w:szCs w:val="32"/>
        </w:rPr>
      </w:pPr>
    </w:p>
    <w:p w14:paraId="5E3A7F56">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附件1：2024版人才培养方案课程情况统计</w:t>
      </w:r>
    </w:p>
    <w:p w14:paraId="246DCCC8">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附件2：关于实践教学和素质教育模块课程说明</w:t>
      </w:r>
    </w:p>
    <w:p w14:paraId="59492F7F">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附件3：2023版人培校外第7、8学期各专业课程安排情况统计（供参考）</w:t>
      </w:r>
    </w:p>
    <w:p w14:paraId="1A6A4C40">
      <w:pPr>
        <w:ind w:firstLine="640" w:firstLineChars="200"/>
        <w:jc w:val="left"/>
        <w:rPr>
          <w:rFonts w:hint="eastAsia" w:ascii="仿宋" w:hAnsi="仿宋" w:eastAsia="仿宋" w:cs="仿宋"/>
          <w:sz w:val="32"/>
          <w:szCs w:val="32"/>
        </w:rPr>
      </w:pPr>
      <w:bookmarkStart w:id="0" w:name="_GoBack"/>
      <w:bookmarkEnd w:id="0"/>
    </w:p>
    <w:p w14:paraId="2C355210">
      <w:pPr>
        <w:ind w:firstLine="5760" w:firstLineChars="1800"/>
        <w:jc w:val="left"/>
        <w:rPr>
          <w:rFonts w:hint="eastAsia" w:ascii="仿宋" w:hAnsi="仿宋" w:eastAsia="仿宋" w:cs="仿宋"/>
          <w:sz w:val="32"/>
          <w:szCs w:val="32"/>
        </w:rPr>
      </w:pPr>
    </w:p>
    <w:p w14:paraId="4A116B10">
      <w:pPr>
        <w:jc w:val="right"/>
        <w:rPr>
          <w:rFonts w:hint="eastAsia" w:ascii="仿宋" w:hAnsi="仿宋" w:eastAsia="仿宋" w:cs="仿宋"/>
          <w:sz w:val="32"/>
          <w:szCs w:val="32"/>
        </w:rPr>
      </w:pPr>
      <w:r>
        <w:rPr>
          <w:rFonts w:hint="eastAsia" w:ascii="仿宋" w:hAnsi="仿宋" w:eastAsia="仿宋" w:cs="仿宋"/>
          <w:sz w:val="32"/>
          <w:szCs w:val="32"/>
        </w:rPr>
        <w:t>广州华立学院教务处</w:t>
      </w:r>
    </w:p>
    <w:p w14:paraId="5D29DAFB">
      <w:pPr>
        <w:jc w:val="right"/>
        <w:rPr>
          <w:rFonts w:hint="eastAsia" w:ascii="仿宋" w:hAnsi="仿宋" w:eastAsia="仿宋" w:cs="仿宋"/>
          <w:sz w:val="32"/>
          <w:szCs w:val="32"/>
        </w:rPr>
      </w:pPr>
      <w:r>
        <w:rPr>
          <w:rFonts w:hint="eastAsia" w:ascii="仿宋" w:hAnsi="仿宋" w:eastAsia="仿宋" w:cs="仿宋"/>
          <w:sz w:val="32"/>
          <w:szCs w:val="32"/>
        </w:rPr>
        <w:t>2024年10月</w:t>
      </w:r>
      <w:r>
        <w:rPr>
          <w:rFonts w:hint="eastAsia" w:ascii="仿宋" w:hAnsi="仿宋" w:eastAsia="仿宋" w:cs="仿宋"/>
          <w:sz w:val="32"/>
          <w:szCs w:val="32"/>
          <w:lang w:val="en-US" w:eastAsia="zh-CN"/>
        </w:rPr>
        <w:t>9</w:t>
      </w:r>
      <w:r>
        <w:rPr>
          <w:rFonts w:hint="eastAsia" w:ascii="仿宋" w:hAnsi="仿宋" w:eastAsia="仿宋" w:cs="仿宋"/>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D26522"/>
    <w:multiLevelType w:val="singleLevel"/>
    <w:tmpl w:val="A9D2652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yZGZmZTExZTFiMDJkZGY2ZjZlNTFiNWMxMzVlODgifQ=="/>
  </w:docVars>
  <w:rsids>
    <w:rsidRoot w:val="00515F89"/>
    <w:rsid w:val="000D0F81"/>
    <w:rsid w:val="002D2D16"/>
    <w:rsid w:val="00515F89"/>
    <w:rsid w:val="008953AF"/>
    <w:rsid w:val="008D3EB7"/>
    <w:rsid w:val="00C84FBD"/>
    <w:rsid w:val="00F15FF5"/>
    <w:rsid w:val="07FB5A8F"/>
    <w:rsid w:val="093A68D8"/>
    <w:rsid w:val="0CD149A0"/>
    <w:rsid w:val="14A3430F"/>
    <w:rsid w:val="18DA455B"/>
    <w:rsid w:val="21C009B7"/>
    <w:rsid w:val="26B03DCC"/>
    <w:rsid w:val="2A2F0631"/>
    <w:rsid w:val="2B792378"/>
    <w:rsid w:val="31575681"/>
    <w:rsid w:val="37E3056D"/>
    <w:rsid w:val="3AA66DF5"/>
    <w:rsid w:val="43E95F34"/>
    <w:rsid w:val="4565075E"/>
    <w:rsid w:val="45FA7EAC"/>
    <w:rsid w:val="4707723F"/>
    <w:rsid w:val="486E51A9"/>
    <w:rsid w:val="48F35730"/>
    <w:rsid w:val="4BF56A91"/>
    <w:rsid w:val="50353CDC"/>
    <w:rsid w:val="51F95ECF"/>
    <w:rsid w:val="580C5D46"/>
    <w:rsid w:val="58D06745"/>
    <w:rsid w:val="5A2A1BF2"/>
    <w:rsid w:val="5E8348D3"/>
    <w:rsid w:val="64D12178"/>
    <w:rsid w:val="6C2002A7"/>
    <w:rsid w:val="6D323CFF"/>
    <w:rsid w:val="6DC47B61"/>
    <w:rsid w:val="70CF2164"/>
    <w:rsid w:val="72595452"/>
    <w:rsid w:val="78F423D8"/>
    <w:rsid w:val="79EA4D8D"/>
    <w:rsid w:val="7C110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1352</Words>
  <Characters>1422</Characters>
  <Lines>10</Lines>
  <Paragraphs>2</Paragraphs>
  <TotalTime>44</TotalTime>
  <ScaleCrop>false</ScaleCrop>
  <LinksUpToDate>false</LinksUpToDate>
  <CharactersWithSpaces>1430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2024-09-19T06:55:00Z</dcterms:created>
  <dc:creator>Administrator</dc:creator>
  <cp:lastModifiedBy>远辰</cp:lastModifiedBy>
  <dcterms:modified xsi:type="dcterms:W3CDTF">2024-10-09T03:46:37Z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D48D288DBDCC4DE7893FFDFB9333BF8E_13</vt:lpwstr>
  </property>
</Properties>
</file>